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A60F" w14:textId="77777777" w:rsidR="00C22564" w:rsidRDefault="00C22564" w:rsidP="005F5DE7">
      <w:pPr>
        <w:jc w:val="center"/>
        <w:rPr>
          <w:rFonts w:ascii="Arial" w:hAnsi="Arial" w:cs="Arial"/>
          <w:b/>
          <w:bCs/>
          <w:sz w:val="32"/>
          <w:szCs w:val="32"/>
        </w:rPr>
      </w:pPr>
    </w:p>
    <w:p w14:paraId="59EE3C28" w14:textId="1384E541" w:rsidR="00752161" w:rsidRDefault="005F5DE7" w:rsidP="005F5DE7">
      <w:pPr>
        <w:jc w:val="center"/>
        <w:rPr>
          <w:rFonts w:ascii="Arial" w:hAnsi="Arial" w:cs="Arial"/>
          <w:b/>
          <w:bCs/>
          <w:sz w:val="32"/>
          <w:szCs w:val="32"/>
        </w:rPr>
      </w:pPr>
      <w:r>
        <w:rPr>
          <w:rFonts w:ascii="Arial" w:hAnsi="Arial" w:cs="Arial"/>
          <w:b/>
          <w:bCs/>
          <w:sz w:val="32"/>
          <w:szCs w:val="32"/>
        </w:rPr>
        <w:t>Compliance Checklist for 2025 Surveyor Guidance Revisions</w:t>
      </w:r>
    </w:p>
    <w:p w14:paraId="51214EFC" w14:textId="331213E2" w:rsidR="005F5DE7" w:rsidRDefault="00DD0B2C" w:rsidP="005F5DE7">
      <w:pPr>
        <w:rPr>
          <w:rFonts w:ascii="Arial" w:hAnsi="Arial" w:cs="Arial"/>
        </w:rPr>
      </w:pPr>
      <w:r>
        <w:rPr>
          <w:rFonts w:ascii="Arial" w:hAnsi="Arial" w:cs="Arial"/>
        </w:rPr>
        <w:t xml:space="preserve">Nursing home providers can utilize this checklist as a compliance guide to ensure </w:t>
      </w:r>
      <w:r w:rsidR="00FD7A77">
        <w:rPr>
          <w:rFonts w:ascii="Arial" w:hAnsi="Arial" w:cs="Arial"/>
        </w:rPr>
        <w:t xml:space="preserve">all revisions included in the surveyor guidance </w:t>
      </w:r>
      <w:r w:rsidR="00FC12CA">
        <w:rPr>
          <w:rFonts w:ascii="Arial" w:hAnsi="Arial" w:cs="Arial"/>
        </w:rPr>
        <w:t xml:space="preserve">are implemented. The effective date of the surveyor guidance revisions is February 24, 2025. </w:t>
      </w:r>
      <w:r w:rsidR="000B61AF">
        <w:rPr>
          <w:rFonts w:ascii="Arial" w:hAnsi="Arial" w:cs="Arial"/>
        </w:rPr>
        <w:t xml:space="preserve">Additional resources are linked with this compliance checklist to aid in </w:t>
      </w:r>
      <w:r w:rsidR="00550F10">
        <w:rPr>
          <w:rFonts w:ascii="Arial" w:hAnsi="Arial" w:cs="Arial"/>
        </w:rPr>
        <w:t xml:space="preserve">implementation. </w:t>
      </w:r>
    </w:p>
    <w:p w14:paraId="08015B6F" w14:textId="4A2A89C5" w:rsidR="00550F10" w:rsidRPr="00550F10" w:rsidRDefault="00B556C3" w:rsidP="005F5DE7">
      <w:pP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58240" behindDoc="0" locked="0" layoutInCell="1" allowOverlap="1" wp14:anchorId="5CF41F89" wp14:editId="76113588">
                <wp:simplePos x="0" y="0"/>
                <wp:positionH relativeFrom="column">
                  <wp:posOffset>-247650</wp:posOffset>
                </wp:positionH>
                <wp:positionV relativeFrom="paragraph">
                  <wp:posOffset>314325</wp:posOffset>
                </wp:positionV>
                <wp:extent cx="171450" cy="152400"/>
                <wp:effectExtent l="0" t="0" r="19050" b="19050"/>
                <wp:wrapNone/>
                <wp:docPr id="355225989"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B1E27" id="Rectangle 2" o:spid="_x0000_s1026" style="position:absolute;margin-left:-19.5pt;margin-top:24.75pt;width:13.5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" filled="f" strokecolor="#030e13 [484]" strokeweight="1pt"/>
            </w:pict>
          </mc:Fallback>
        </mc:AlternateContent>
      </w:r>
      <w:r w:rsidR="00550F10" w:rsidRPr="00550F10">
        <w:rPr>
          <w:rFonts w:ascii="Arial" w:hAnsi="Arial" w:cs="Arial"/>
          <w:b/>
          <w:bCs/>
          <w:u w:val="single"/>
        </w:rPr>
        <w:t xml:space="preserve">Admission, Transfer, and Discharge: </w:t>
      </w:r>
    </w:p>
    <w:p w14:paraId="24FB0D6E" w14:textId="210574E5" w:rsidR="00550F10" w:rsidRDefault="00D103E7" w:rsidP="005F5DE7">
      <w:pPr>
        <w:rPr>
          <w:rFonts w:ascii="Arial" w:hAnsi="Arial" w:cs="Arial"/>
        </w:rPr>
      </w:pPr>
      <w:r>
        <w:rPr>
          <w:rFonts w:ascii="Arial" w:hAnsi="Arial" w:cs="Arial"/>
        </w:rPr>
        <w:t xml:space="preserve">F620 </w:t>
      </w:r>
      <w:r w:rsidR="0030374C">
        <w:rPr>
          <w:rFonts w:ascii="Arial" w:hAnsi="Arial" w:cs="Arial"/>
        </w:rPr>
        <w:t>–</w:t>
      </w:r>
      <w:r>
        <w:rPr>
          <w:rFonts w:ascii="Arial" w:hAnsi="Arial" w:cs="Arial"/>
        </w:rPr>
        <w:t xml:space="preserve"> </w:t>
      </w:r>
      <w:r w:rsidR="0030374C">
        <w:rPr>
          <w:rFonts w:ascii="Arial" w:hAnsi="Arial" w:cs="Arial"/>
        </w:rPr>
        <w:t xml:space="preserve">Ensure that admission agreements and other documents do not include language that would: </w:t>
      </w:r>
    </w:p>
    <w:p w14:paraId="5417B566" w14:textId="03BE093D" w:rsidR="0030374C" w:rsidRDefault="00FF56E7" w:rsidP="0030374C">
      <w:pPr>
        <w:pStyle w:val="ListParagraph"/>
        <w:numPr>
          <w:ilvl w:val="0"/>
          <w:numId w:val="1"/>
        </w:numPr>
        <w:rPr>
          <w:rFonts w:ascii="Arial" w:hAnsi="Arial" w:cs="Arial"/>
        </w:rPr>
      </w:pPr>
      <w:r>
        <w:rPr>
          <w:rFonts w:ascii="Arial" w:hAnsi="Arial" w:cs="Arial"/>
        </w:rPr>
        <w:t>Request</w:t>
      </w:r>
      <w:r w:rsidR="00D40514">
        <w:rPr>
          <w:rFonts w:ascii="Arial" w:hAnsi="Arial" w:cs="Arial"/>
        </w:rPr>
        <w:t xml:space="preserve"> a </w:t>
      </w:r>
      <w:r w:rsidR="005F3146">
        <w:rPr>
          <w:rFonts w:ascii="Arial" w:hAnsi="Arial" w:cs="Arial"/>
        </w:rPr>
        <w:t xml:space="preserve">representative or </w:t>
      </w:r>
      <w:r w:rsidR="00D40514">
        <w:rPr>
          <w:rFonts w:ascii="Arial" w:hAnsi="Arial" w:cs="Arial"/>
        </w:rPr>
        <w:t>third party to guarantee payment of services on behalf of the resident</w:t>
      </w:r>
      <w:r>
        <w:rPr>
          <w:rFonts w:ascii="Arial" w:hAnsi="Arial" w:cs="Arial"/>
        </w:rPr>
        <w:t>,</w:t>
      </w:r>
      <w:r w:rsidR="00D40514">
        <w:rPr>
          <w:rFonts w:ascii="Arial" w:hAnsi="Arial" w:cs="Arial"/>
        </w:rPr>
        <w:t xml:space="preserve"> from the third parties personal funds. </w:t>
      </w:r>
    </w:p>
    <w:p w14:paraId="6BB181D0" w14:textId="51C81442" w:rsidR="005F3146" w:rsidRDefault="00FF56E7" w:rsidP="0030374C">
      <w:pPr>
        <w:pStyle w:val="ListParagraph"/>
        <w:numPr>
          <w:ilvl w:val="0"/>
          <w:numId w:val="1"/>
        </w:numPr>
        <w:rPr>
          <w:rFonts w:ascii="Arial" w:hAnsi="Arial" w:cs="Arial"/>
        </w:rPr>
      </w:pPr>
      <w:r>
        <w:rPr>
          <w:rFonts w:ascii="Arial" w:hAnsi="Arial" w:cs="Arial"/>
        </w:rPr>
        <w:t>Request</w:t>
      </w:r>
      <w:r w:rsidR="005F3146">
        <w:rPr>
          <w:rFonts w:ascii="Arial" w:hAnsi="Arial" w:cs="Arial"/>
        </w:rPr>
        <w:t xml:space="preserve"> a representative or third party to be held personally liable for a breach of obligation such as not applying for Medicaid in a timely manner</w:t>
      </w:r>
      <w:r w:rsidR="007901E9">
        <w:rPr>
          <w:rFonts w:ascii="Arial" w:hAnsi="Arial" w:cs="Arial"/>
        </w:rPr>
        <w:t xml:space="preserve">. </w:t>
      </w:r>
    </w:p>
    <w:p w14:paraId="69E1284D" w14:textId="599E5D8F" w:rsidR="007901E9" w:rsidRDefault="007901E9" w:rsidP="0030374C">
      <w:pPr>
        <w:pStyle w:val="ListParagraph"/>
        <w:numPr>
          <w:ilvl w:val="0"/>
          <w:numId w:val="1"/>
        </w:numPr>
        <w:rPr>
          <w:rFonts w:ascii="Arial" w:hAnsi="Arial" w:cs="Arial"/>
        </w:rPr>
      </w:pPr>
      <w:r>
        <w:rPr>
          <w:rFonts w:ascii="Arial" w:hAnsi="Arial" w:cs="Arial"/>
        </w:rPr>
        <w:t xml:space="preserve">Allow someone other than a designated signatory to spend the resident’s resources that would otherwise be used to pay for nursing home care. </w:t>
      </w:r>
    </w:p>
    <w:p w14:paraId="3A0331B7" w14:textId="44C4E753" w:rsidR="007901E9" w:rsidRDefault="001212D1" w:rsidP="0030374C">
      <w:pPr>
        <w:pStyle w:val="ListParagraph"/>
        <w:numPr>
          <w:ilvl w:val="0"/>
          <w:numId w:val="1"/>
        </w:numPr>
        <w:rPr>
          <w:rFonts w:ascii="Arial" w:hAnsi="Arial" w:cs="Arial"/>
        </w:rPr>
      </w:pPr>
      <w:r>
        <w:rPr>
          <w:rFonts w:ascii="Arial" w:hAnsi="Arial" w:cs="Arial"/>
        </w:rPr>
        <w:t xml:space="preserve">Hold the representative or third party personally liable for any amount not paid to the nursing home </w:t>
      </w:r>
      <w:r w:rsidR="00AC23EC">
        <w:rPr>
          <w:rFonts w:ascii="Arial" w:hAnsi="Arial" w:cs="Arial"/>
        </w:rPr>
        <w:t xml:space="preserve">due to inaccurate financial information or changes in the resident’s financial status. </w:t>
      </w:r>
    </w:p>
    <w:p w14:paraId="189FA62E" w14:textId="7BFD5C35" w:rsidR="00B90D85" w:rsidRDefault="006237D7" w:rsidP="00B90D85">
      <w:pPr>
        <w:rPr>
          <w:rFonts w:ascii="Arial" w:hAnsi="Arial" w:cs="Arial"/>
        </w:rPr>
      </w:pPr>
      <w:r>
        <w:rPr>
          <w:rFonts w:ascii="Arial" w:hAnsi="Arial" w:cs="Arial"/>
          <w:b/>
          <w:bCs/>
          <w:noProof/>
          <w:u w:val="single"/>
        </w:rPr>
        <mc:AlternateContent>
          <mc:Choice Requires="wps">
            <w:drawing>
              <wp:anchor distT="0" distB="0" distL="114300" distR="114300" simplePos="0" relativeHeight="251658241" behindDoc="0" locked="0" layoutInCell="1" allowOverlap="1" wp14:anchorId="0AA031F8" wp14:editId="7385CCC7">
                <wp:simplePos x="0" y="0"/>
                <wp:positionH relativeFrom="column">
                  <wp:posOffset>-257175</wp:posOffset>
                </wp:positionH>
                <wp:positionV relativeFrom="paragraph">
                  <wp:posOffset>8890</wp:posOffset>
                </wp:positionV>
                <wp:extent cx="171450" cy="152400"/>
                <wp:effectExtent l="0" t="0" r="19050" b="19050"/>
                <wp:wrapNone/>
                <wp:docPr id="1366843114"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3E730" id="Rectangle 2" o:spid="_x0000_s1026" style="position:absolute;margin-left:-20.25pt;margin-top:.7pt;width:13.5pt;height:1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" filled="f" strokecolor="#030e13 [484]" strokeweight="1pt"/>
            </w:pict>
          </mc:Fallback>
        </mc:AlternateContent>
      </w:r>
      <w:r w:rsidR="00B90D85">
        <w:rPr>
          <w:rFonts w:ascii="Arial" w:hAnsi="Arial" w:cs="Arial"/>
        </w:rPr>
        <w:t xml:space="preserve">F627 </w:t>
      </w:r>
      <w:r w:rsidR="001915A3">
        <w:rPr>
          <w:rFonts w:ascii="Arial" w:hAnsi="Arial" w:cs="Arial"/>
        </w:rPr>
        <w:t>–</w:t>
      </w:r>
      <w:r w:rsidR="00B90D85">
        <w:rPr>
          <w:rFonts w:ascii="Arial" w:hAnsi="Arial" w:cs="Arial"/>
        </w:rPr>
        <w:t xml:space="preserve"> </w:t>
      </w:r>
      <w:r w:rsidR="001915A3">
        <w:rPr>
          <w:rFonts w:ascii="Arial" w:hAnsi="Arial" w:cs="Arial"/>
        </w:rPr>
        <w:t xml:space="preserve">Establish a discharge policy and procedure or revise current discharge policies to ensure that the nursing home </w:t>
      </w:r>
      <w:r>
        <w:rPr>
          <w:rFonts w:ascii="Arial" w:hAnsi="Arial" w:cs="Arial"/>
        </w:rPr>
        <w:t xml:space="preserve">is completing </w:t>
      </w:r>
      <w:hyperlink r:id="rId11" w:history="1">
        <w:r w:rsidRPr="001856D3">
          <w:rPr>
            <w:rStyle w:val="Hyperlink"/>
            <w:rFonts w:ascii="Arial" w:hAnsi="Arial" w:cs="Arial"/>
          </w:rPr>
          <w:t>appropriate resident discharges</w:t>
        </w:r>
      </w:hyperlink>
      <w:r>
        <w:rPr>
          <w:rFonts w:ascii="Arial" w:hAnsi="Arial" w:cs="Arial"/>
        </w:rPr>
        <w:t xml:space="preserve">. Appropriate resident discharges ensure that: </w:t>
      </w:r>
    </w:p>
    <w:p w14:paraId="1B92D7E6" w14:textId="4AB2E242" w:rsidR="006237D7" w:rsidRDefault="00F11F18" w:rsidP="006237D7">
      <w:pPr>
        <w:pStyle w:val="ListParagraph"/>
        <w:numPr>
          <w:ilvl w:val="0"/>
          <w:numId w:val="2"/>
        </w:numPr>
        <w:rPr>
          <w:rFonts w:ascii="Arial" w:hAnsi="Arial" w:cs="Arial"/>
        </w:rPr>
      </w:pPr>
      <w:r>
        <w:rPr>
          <w:rFonts w:ascii="Arial" w:hAnsi="Arial" w:cs="Arial"/>
        </w:rPr>
        <w:t>If the nursing</w:t>
      </w:r>
      <w:r w:rsidR="00D9076B">
        <w:rPr>
          <w:rFonts w:ascii="Arial" w:hAnsi="Arial" w:cs="Arial"/>
        </w:rPr>
        <w:t xml:space="preserve"> home</w:t>
      </w:r>
      <w:r>
        <w:rPr>
          <w:rFonts w:ascii="Arial" w:hAnsi="Arial" w:cs="Arial"/>
        </w:rPr>
        <w:t xml:space="preserve"> cannot meet the resident’s needs, an assessment is completed at the time the resident is to be discharged from the nursing home</w:t>
      </w:r>
      <w:r w:rsidR="008F6AA8">
        <w:rPr>
          <w:rFonts w:ascii="Arial" w:hAnsi="Arial" w:cs="Arial"/>
        </w:rPr>
        <w:t xml:space="preserve"> or when the nursing home is issuing the involuntary discharge notice. For example, if a resident has behavioral health </w:t>
      </w:r>
      <w:r w:rsidR="00B66B4B">
        <w:rPr>
          <w:rFonts w:ascii="Arial" w:hAnsi="Arial" w:cs="Arial"/>
        </w:rPr>
        <w:t xml:space="preserve">problems which may endanger other </w:t>
      </w:r>
      <w:r w:rsidR="007E176C">
        <w:rPr>
          <w:rFonts w:ascii="Arial" w:hAnsi="Arial" w:cs="Arial"/>
        </w:rPr>
        <w:t>residents’</w:t>
      </w:r>
      <w:r w:rsidR="00B66B4B">
        <w:rPr>
          <w:rFonts w:ascii="Arial" w:hAnsi="Arial" w:cs="Arial"/>
        </w:rPr>
        <w:t xml:space="preserve"> health or safety and is transferred to the hospital for evaluation and treatment </w:t>
      </w:r>
      <w:r w:rsidR="006F5BF4">
        <w:rPr>
          <w:rFonts w:ascii="Arial" w:hAnsi="Arial" w:cs="Arial"/>
        </w:rPr>
        <w:t xml:space="preserve">the resident’s status should be assessed at the time the hospital is ready to discharge the resident. </w:t>
      </w:r>
    </w:p>
    <w:p w14:paraId="01C81DA4" w14:textId="6A039D75" w:rsidR="00DB4A14" w:rsidRDefault="00DB4A14" w:rsidP="006237D7">
      <w:pPr>
        <w:pStyle w:val="ListParagraph"/>
        <w:numPr>
          <w:ilvl w:val="0"/>
          <w:numId w:val="2"/>
        </w:numPr>
        <w:rPr>
          <w:rFonts w:ascii="Arial" w:hAnsi="Arial" w:cs="Arial"/>
        </w:rPr>
      </w:pPr>
      <w:r>
        <w:rPr>
          <w:rFonts w:ascii="Arial" w:hAnsi="Arial" w:cs="Arial"/>
        </w:rPr>
        <w:t xml:space="preserve">If the discharge reason is due to the </w:t>
      </w:r>
      <w:r w:rsidR="00414448">
        <w:rPr>
          <w:rFonts w:ascii="Arial" w:hAnsi="Arial" w:cs="Arial"/>
        </w:rPr>
        <w:t>residents’</w:t>
      </w:r>
      <w:r>
        <w:rPr>
          <w:rFonts w:ascii="Arial" w:hAnsi="Arial" w:cs="Arial"/>
        </w:rPr>
        <w:t xml:space="preserve"> improved health and/or functional status that they no longer require nursing home level care, the documentation clearly indicates the improvement in </w:t>
      </w:r>
      <w:r w:rsidR="004A6394">
        <w:rPr>
          <w:rFonts w:ascii="Arial" w:hAnsi="Arial" w:cs="Arial"/>
        </w:rPr>
        <w:t xml:space="preserve">health and/or functional status. </w:t>
      </w:r>
    </w:p>
    <w:p w14:paraId="501EBE34" w14:textId="6675F09E" w:rsidR="004A6394" w:rsidRDefault="004A6394" w:rsidP="006237D7">
      <w:pPr>
        <w:pStyle w:val="ListParagraph"/>
        <w:numPr>
          <w:ilvl w:val="0"/>
          <w:numId w:val="2"/>
        </w:numPr>
        <w:rPr>
          <w:rFonts w:ascii="Arial" w:hAnsi="Arial" w:cs="Arial"/>
        </w:rPr>
      </w:pPr>
      <w:r>
        <w:rPr>
          <w:rFonts w:ascii="Arial" w:hAnsi="Arial" w:cs="Arial"/>
        </w:rPr>
        <w:t xml:space="preserve">If the discharge reason is due to a lack of payment, documentation clearly outlines the steps the nursing home took to </w:t>
      </w:r>
      <w:r w:rsidR="002B32EC">
        <w:rPr>
          <w:rFonts w:ascii="Arial" w:hAnsi="Arial" w:cs="Arial"/>
        </w:rPr>
        <w:t xml:space="preserve">work with the resident and/or their representative </w:t>
      </w:r>
      <w:r w:rsidR="00602454">
        <w:rPr>
          <w:rFonts w:ascii="Arial" w:hAnsi="Arial" w:cs="Arial"/>
        </w:rPr>
        <w:t>on providing payment. Examples may include but are not limited to issuing a notice of the amount that must be paid and by when</w:t>
      </w:r>
      <w:r w:rsidR="00D20180">
        <w:rPr>
          <w:rFonts w:ascii="Arial" w:hAnsi="Arial" w:cs="Arial"/>
        </w:rPr>
        <w:t xml:space="preserve">, providing paperwork and information on applying for Medicare and/or Medicaid, assisting to the extent necessary in completing and submitting applications or paperwork to apply for Medicare and/or Medicaid benefits. </w:t>
      </w:r>
    </w:p>
    <w:p w14:paraId="71600977" w14:textId="6FB8B29A" w:rsidR="001B0981" w:rsidRDefault="001B0981" w:rsidP="006237D7">
      <w:pPr>
        <w:pStyle w:val="ListParagraph"/>
        <w:numPr>
          <w:ilvl w:val="0"/>
          <w:numId w:val="2"/>
        </w:numPr>
        <w:rPr>
          <w:rFonts w:ascii="Arial" w:hAnsi="Arial" w:cs="Arial"/>
        </w:rPr>
      </w:pPr>
      <w:r>
        <w:rPr>
          <w:rFonts w:ascii="Arial" w:hAnsi="Arial" w:cs="Arial"/>
        </w:rPr>
        <w:lastRenderedPageBreak/>
        <w:t xml:space="preserve">If the resident or their representative has appealed </w:t>
      </w:r>
      <w:r w:rsidR="00D9076B">
        <w:rPr>
          <w:rFonts w:ascii="Arial" w:hAnsi="Arial" w:cs="Arial"/>
        </w:rPr>
        <w:t>the</w:t>
      </w:r>
      <w:r>
        <w:rPr>
          <w:rFonts w:ascii="Arial" w:hAnsi="Arial" w:cs="Arial"/>
        </w:rPr>
        <w:t xml:space="preserve"> discharge or transfer from the nursing home, the nursing home will not </w:t>
      </w:r>
      <w:r w:rsidR="00516D7B">
        <w:rPr>
          <w:rFonts w:ascii="Arial" w:hAnsi="Arial" w:cs="Arial"/>
        </w:rPr>
        <w:t xml:space="preserve">discharge or transfer the resident until the appeal decision has been issued. </w:t>
      </w:r>
    </w:p>
    <w:p w14:paraId="51B3A7B7" w14:textId="1646131C" w:rsidR="00E16E1E" w:rsidRDefault="002B0909" w:rsidP="006237D7">
      <w:pPr>
        <w:pStyle w:val="ListParagraph"/>
        <w:numPr>
          <w:ilvl w:val="0"/>
          <w:numId w:val="2"/>
        </w:numPr>
        <w:rPr>
          <w:rFonts w:ascii="Arial" w:hAnsi="Arial" w:cs="Arial"/>
        </w:rPr>
      </w:pPr>
      <w:r>
        <w:rPr>
          <w:rFonts w:ascii="Arial" w:hAnsi="Arial" w:cs="Arial"/>
        </w:rPr>
        <w:t>The nursing home will complete</w:t>
      </w:r>
      <w:r w:rsidR="00B256C9">
        <w:rPr>
          <w:rFonts w:ascii="Arial" w:hAnsi="Arial" w:cs="Arial"/>
        </w:rPr>
        <w:t xml:space="preserve"> effective discharge process</w:t>
      </w:r>
      <w:r w:rsidR="00871900">
        <w:rPr>
          <w:rFonts w:ascii="Arial" w:hAnsi="Arial" w:cs="Arial"/>
        </w:rPr>
        <w:t>es</w:t>
      </w:r>
      <w:r w:rsidR="00B256C9">
        <w:rPr>
          <w:rFonts w:ascii="Arial" w:hAnsi="Arial" w:cs="Arial"/>
        </w:rPr>
        <w:t xml:space="preserve"> including but not limited to</w:t>
      </w:r>
      <w:r w:rsidR="00E16E1E">
        <w:rPr>
          <w:rFonts w:ascii="Arial" w:hAnsi="Arial" w:cs="Arial"/>
        </w:rPr>
        <w:t xml:space="preserve">: </w:t>
      </w:r>
      <w:r w:rsidR="00B256C9">
        <w:rPr>
          <w:rFonts w:ascii="Arial" w:hAnsi="Arial" w:cs="Arial"/>
        </w:rPr>
        <w:t xml:space="preserve"> </w:t>
      </w:r>
    </w:p>
    <w:p w14:paraId="2A1450EA" w14:textId="6077C0A2" w:rsidR="00607E65" w:rsidRDefault="00E16E1E" w:rsidP="00E16E1E">
      <w:pPr>
        <w:pStyle w:val="ListParagraph"/>
        <w:numPr>
          <w:ilvl w:val="1"/>
          <w:numId w:val="2"/>
        </w:numPr>
        <w:rPr>
          <w:rFonts w:ascii="Arial" w:hAnsi="Arial" w:cs="Arial"/>
        </w:rPr>
      </w:pPr>
      <w:r>
        <w:rPr>
          <w:rFonts w:ascii="Arial" w:hAnsi="Arial" w:cs="Arial"/>
        </w:rPr>
        <w:t>E</w:t>
      </w:r>
      <w:r w:rsidR="00B256C9">
        <w:rPr>
          <w:rFonts w:ascii="Arial" w:hAnsi="Arial" w:cs="Arial"/>
        </w:rPr>
        <w:t xml:space="preserve">nsuring that the residents’ needs </w:t>
      </w:r>
      <w:r w:rsidR="00E91FB7">
        <w:rPr>
          <w:rFonts w:ascii="Arial" w:hAnsi="Arial" w:cs="Arial"/>
        </w:rPr>
        <w:t>can</w:t>
      </w:r>
      <w:r>
        <w:rPr>
          <w:rFonts w:ascii="Arial" w:hAnsi="Arial" w:cs="Arial"/>
        </w:rPr>
        <w:t xml:space="preserve"> be met at the discharge or transfer location. </w:t>
      </w:r>
    </w:p>
    <w:p w14:paraId="189572D6" w14:textId="1414B5B6" w:rsidR="00E16E1E" w:rsidRDefault="00E91FB7" w:rsidP="00E16E1E">
      <w:pPr>
        <w:pStyle w:val="ListParagraph"/>
        <w:numPr>
          <w:ilvl w:val="1"/>
          <w:numId w:val="2"/>
        </w:numPr>
        <w:rPr>
          <w:rFonts w:ascii="Arial" w:hAnsi="Arial" w:cs="Arial"/>
        </w:rPr>
      </w:pPr>
      <w:r>
        <w:rPr>
          <w:rFonts w:ascii="Arial" w:hAnsi="Arial" w:cs="Arial"/>
        </w:rPr>
        <w:t xml:space="preserve">Necessary medication has been ordered and obtained. </w:t>
      </w:r>
    </w:p>
    <w:p w14:paraId="7FB61412" w14:textId="704900B1" w:rsidR="00E91FB7" w:rsidRDefault="00E91FB7" w:rsidP="00E16E1E">
      <w:pPr>
        <w:pStyle w:val="ListParagraph"/>
        <w:numPr>
          <w:ilvl w:val="1"/>
          <w:numId w:val="2"/>
        </w:numPr>
        <w:rPr>
          <w:rFonts w:ascii="Arial" w:hAnsi="Arial" w:cs="Arial"/>
        </w:rPr>
      </w:pPr>
      <w:r>
        <w:rPr>
          <w:rFonts w:ascii="Arial" w:hAnsi="Arial" w:cs="Arial"/>
        </w:rPr>
        <w:t xml:space="preserve">The caregiver(s) have been educated on </w:t>
      </w:r>
      <w:r w:rsidR="00013203">
        <w:rPr>
          <w:rFonts w:ascii="Arial" w:hAnsi="Arial" w:cs="Arial"/>
        </w:rPr>
        <w:t>all necessary tasks upon discharge such as wound care, medication administration,</w:t>
      </w:r>
      <w:r w:rsidR="002B2604">
        <w:rPr>
          <w:rFonts w:ascii="Arial" w:hAnsi="Arial" w:cs="Arial"/>
        </w:rPr>
        <w:t xml:space="preserve"> point of care testing, etc. </w:t>
      </w:r>
    </w:p>
    <w:p w14:paraId="61527B68" w14:textId="4C2ED7A4" w:rsidR="002B2604" w:rsidRDefault="002B2604" w:rsidP="00E16E1E">
      <w:pPr>
        <w:pStyle w:val="ListParagraph"/>
        <w:numPr>
          <w:ilvl w:val="1"/>
          <w:numId w:val="2"/>
        </w:numPr>
        <w:rPr>
          <w:rFonts w:ascii="Arial" w:hAnsi="Arial" w:cs="Arial"/>
        </w:rPr>
      </w:pPr>
      <w:r>
        <w:rPr>
          <w:rFonts w:ascii="Arial" w:hAnsi="Arial" w:cs="Arial"/>
        </w:rPr>
        <w:t xml:space="preserve">Additional </w:t>
      </w:r>
      <w:r w:rsidR="006E2DEC">
        <w:rPr>
          <w:rFonts w:ascii="Arial" w:hAnsi="Arial" w:cs="Arial"/>
        </w:rPr>
        <w:t>support</w:t>
      </w:r>
      <w:r>
        <w:rPr>
          <w:rFonts w:ascii="Arial" w:hAnsi="Arial" w:cs="Arial"/>
        </w:rPr>
        <w:t xml:space="preserve"> or services have been arranged </w:t>
      </w:r>
      <w:r w:rsidR="006E2DEC">
        <w:rPr>
          <w:rFonts w:ascii="Arial" w:hAnsi="Arial" w:cs="Arial"/>
        </w:rPr>
        <w:t xml:space="preserve">such as outpatient therapy services, home health services, or hospice. </w:t>
      </w:r>
    </w:p>
    <w:p w14:paraId="4AF919F7" w14:textId="02906C65" w:rsidR="006E2DEC" w:rsidRDefault="006E2DEC" w:rsidP="00E16E1E">
      <w:pPr>
        <w:pStyle w:val="ListParagraph"/>
        <w:numPr>
          <w:ilvl w:val="1"/>
          <w:numId w:val="2"/>
        </w:numPr>
        <w:rPr>
          <w:rFonts w:ascii="Arial" w:hAnsi="Arial" w:cs="Arial"/>
        </w:rPr>
      </w:pPr>
      <w:r>
        <w:rPr>
          <w:rFonts w:ascii="Arial" w:hAnsi="Arial" w:cs="Arial"/>
        </w:rPr>
        <w:t xml:space="preserve">The resident will have necessary equipment based on their needs. </w:t>
      </w:r>
    </w:p>
    <w:p w14:paraId="6E4E66AD" w14:textId="37FFEA28" w:rsidR="00E16E1E" w:rsidRPr="00BA3C7D" w:rsidRDefault="00F16608" w:rsidP="00BA3C7D">
      <w:pPr>
        <w:pStyle w:val="ListParagraph"/>
        <w:numPr>
          <w:ilvl w:val="1"/>
          <w:numId w:val="2"/>
        </w:numPr>
        <w:rPr>
          <w:rFonts w:ascii="Arial" w:hAnsi="Arial" w:cs="Arial"/>
        </w:rPr>
      </w:pPr>
      <w:r>
        <w:rPr>
          <w:rFonts w:ascii="Arial" w:hAnsi="Arial" w:cs="Arial"/>
        </w:rPr>
        <w:t>The discharge</w:t>
      </w:r>
      <w:r w:rsidR="00D9076B">
        <w:rPr>
          <w:rFonts w:ascii="Arial" w:hAnsi="Arial" w:cs="Arial"/>
        </w:rPr>
        <w:t xml:space="preserve"> or transfer</w:t>
      </w:r>
      <w:r>
        <w:rPr>
          <w:rFonts w:ascii="Arial" w:hAnsi="Arial" w:cs="Arial"/>
        </w:rPr>
        <w:t xml:space="preserve"> location considers the resident’s preference. </w:t>
      </w:r>
    </w:p>
    <w:p w14:paraId="06E6D295" w14:textId="066C8F3A" w:rsidR="005C65EB" w:rsidRPr="005C65EB" w:rsidRDefault="005C65EB" w:rsidP="000761FD">
      <w:pPr>
        <w:rPr>
          <w:rFonts w:ascii="Arial" w:hAnsi="Arial" w:cs="Arial"/>
        </w:rPr>
      </w:pPr>
      <w:r>
        <w:rPr>
          <w:b/>
          <w:bCs/>
          <w:noProof/>
          <w:u w:val="single"/>
        </w:rPr>
        <mc:AlternateContent>
          <mc:Choice Requires="wps">
            <w:drawing>
              <wp:anchor distT="0" distB="0" distL="114300" distR="114300" simplePos="0" relativeHeight="251658242" behindDoc="0" locked="0" layoutInCell="1" allowOverlap="1" wp14:anchorId="6029562C" wp14:editId="2CDBD118">
                <wp:simplePos x="0" y="0"/>
                <wp:positionH relativeFrom="column">
                  <wp:posOffset>-257175</wp:posOffset>
                </wp:positionH>
                <wp:positionV relativeFrom="paragraph">
                  <wp:posOffset>8890</wp:posOffset>
                </wp:positionV>
                <wp:extent cx="171450" cy="152400"/>
                <wp:effectExtent l="0" t="0" r="19050" b="19050"/>
                <wp:wrapNone/>
                <wp:docPr id="1976968080"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DEBA1" id="Rectangle 2" o:spid="_x0000_s1026" style="position:absolute;margin-left:-20.25pt;margin-top:.7pt;width:13.5pt;height:12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" filled="f" strokecolor="#030e13 [484]" strokeweight="1pt"/>
            </w:pict>
          </mc:Fallback>
        </mc:AlternateContent>
      </w:r>
      <w:r w:rsidRPr="005C65EB">
        <w:rPr>
          <w:rFonts w:ascii="Arial" w:hAnsi="Arial" w:cs="Arial"/>
        </w:rPr>
        <w:t xml:space="preserve">F627 – </w:t>
      </w:r>
      <w:r w:rsidR="000761FD">
        <w:rPr>
          <w:rFonts w:ascii="Arial" w:hAnsi="Arial" w:cs="Arial"/>
        </w:rPr>
        <w:t xml:space="preserve">Develop an </w:t>
      </w:r>
      <w:hyperlink r:id="rId12" w:history="1">
        <w:r w:rsidR="000761FD" w:rsidRPr="001C1AD4">
          <w:rPr>
            <w:rStyle w:val="Hyperlink"/>
            <w:rFonts w:ascii="Arial" w:hAnsi="Arial" w:cs="Arial"/>
          </w:rPr>
          <w:t>assessment</w:t>
        </w:r>
      </w:hyperlink>
      <w:r w:rsidR="000761FD">
        <w:rPr>
          <w:rFonts w:ascii="Arial" w:hAnsi="Arial" w:cs="Arial"/>
        </w:rPr>
        <w:t xml:space="preserve"> to clearly document what individual resident need(s) cannot be met </w:t>
      </w:r>
      <w:r w:rsidR="007E176C">
        <w:rPr>
          <w:rFonts w:ascii="Arial" w:hAnsi="Arial" w:cs="Arial"/>
        </w:rPr>
        <w:t xml:space="preserve">that require the resident to be discharged or transferred to another location. </w:t>
      </w:r>
      <w:r w:rsidRPr="005C65EB">
        <w:rPr>
          <w:rFonts w:ascii="Arial" w:hAnsi="Arial" w:cs="Arial"/>
        </w:rPr>
        <w:t xml:space="preserve"> </w:t>
      </w:r>
    </w:p>
    <w:p w14:paraId="33576937" w14:textId="253C4B30" w:rsidR="005C65EB" w:rsidRDefault="00BA3C7D" w:rsidP="005C65EB">
      <w:pPr>
        <w:rPr>
          <w:rFonts w:ascii="Arial" w:hAnsi="Arial" w:cs="Arial"/>
          <w:b/>
          <w:bCs/>
          <w:u w:val="single"/>
        </w:rPr>
      </w:pPr>
      <w:r>
        <w:rPr>
          <w:b/>
          <w:bCs/>
          <w:noProof/>
          <w:u w:val="single"/>
        </w:rPr>
        <mc:AlternateContent>
          <mc:Choice Requires="wps">
            <w:drawing>
              <wp:anchor distT="0" distB="0" distL="114300" distR="114300" simplePos="0" relativeHeight="251658243" behindDoc="0" locked="0" layoutInCell="1" allowOverlap="1" wp14:anchorId="5470C74D" wp14:editId="70E96E21">
                <wp:simplePos x="0" y="0"/>
                <wp:positionH relativeFrom="column">
                  <wp:posOffset>-279400</wp:posOffset>
                </wp:positionH>
                <wp:positionV relativeFrom="paragraph">
                  <wp:posOffset>304165</wp:posOffset>
                </wp:positionV>
                <wp:extent cx="171450" cy="152400"/>
                <wp:effectExtent l="0" t="0" r="19050" b="19050"/>
                <wp:wrapNone/>
                <wp:docPr id="1225851241"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BBBF2" id="Rectangle 2" o:spid="_x0000_s1026" style="position:absolute;margin-left:-22pt;margin-top:23.95pt;width:13.5pt;height:1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" filled="f" strokecolor="#030e13 [484]" strokeweight="1pt"/>
            </w:pict>
          </mc:Fallback>
        </mc:AlternateContent>
      </w:r>
      <w:r w:rsidR="00F00B9B">
        <w:rPr>
          <w:rFonts w:ascii="Arial" w:hAnsi="Arial" w:cs="Arial"/>
          <w:b/>
          <w:bCs/>
          <w:u w:val="single"/>
        </w:rPr>
        <w:t>Chemical Restraints and Unnecessary Psychotropic Medications</w:t>
      </w:r>
    </w:p>
    <w:p w14:paraId="4B61FAA3" w14:textId="01D58B9B" w:rsidR="00F00B9B" w:rsidRDefault="00FC7D1D" w:rsidP="005C65EB">
      <w:pPr>
        <w:rPr>
          <w:rFonts w:ascii="Arial" w:hAnsi="Arial" w:cs="Arial"/>
        </w:rPr>
      </w:pPr>
      <w:r>
        <w:rPr>
          <w:rFonts w:ascii="Arial" w:hAnsi="Arial" w:cs="Arial"/>
        </w:rPr>
        <w:t xml:space="preserve">F605 – Educate </w:t>
      </w:r>
      <w:r w:rsidR="00F4510E">
        <w:rPr>
          <w:rFonts w:ascii="Arial" w:hAnsi="Arial" w:cs="Arial"/>
        </w:rPr>
        <w:t xml:space="preserve">staff on minimum requirements for documenting </w:t>
      </w:r>
      <w:r w:rsidR="00C72C73">
        <w:rPr>
          <w:rFonts w:ascii="Arial" w:hAnsi="Arial" w:cs="Arial"/>
        </w:rPr>
        <w:t>resident’s informed decision making</w:t>
      </w:r>
      <w:r w:rsidR="00D94823">
        <w:rPr>
          <w:rFonts w:ascii="Arial" w:hAnsi="Arial" w:cs="Arial"/>
        </w:rPr>
        <w:t xml:space="preserve"> </w:t>
      </w:r>
      <w:r w:rsidR="004B345B">
        <w:rPr>
          <w:rFonts w:ascii="Arial" w:hAnsi="Arial" w:cs="Arial"/>
        </w:rPr>
        <w:t xml:space="preserve">in advance of </w:t>
      </w:r>
      <w:r w:rsidR="00D94823">
        <w:rPr>
          <w:rFonts w:ascii="Arial" w:hAnsi="Arial" w:cs="Arial"/>
        </w:rPr>
        <w:t>initiating or increasing psychotropic medications</w:t>
      </w:r>
      <w:r w:rsidR="00C72C73">
        <w:rPr>
          <w:rFonts w:ascii="Arial" w:hAnsi="Arial" w:cs="Arial"/>
        </w:rPr>
        <w:t>. This could include</w:t>
      </w:r>
      <w:r w:rsidR="00D94823">
        <w:rPr>
          <w:rFonts w:ascii="Arial" w:hAnsi="Arial" w:cs="Arial"/>
        </w:rPr>
        <w:t xml:space="preserve"> the</w:t>
      </w:r>
      <w:r w:rsidR="00C72C73">
        <w:rPr>
          <w:rFonts w:ascii="Arial" w:hAnsi="Arial" w:cs="Arial"/>
        </w:rPr>
        <w:t xml:space="preserve"> use of an </w:t>
      </w:r>
      <w:hyperlink r:id="rId13" w:history="1">
        <w:r w:rsidR="00C72C73" w:rsidRPr="00FB18E3">
          <w:rPr>
            <w:rStyle w:val="Hyperlink"/>
            <w:rFonts w:ascii="Arial" w:hAnsi="Arial" w:cs="Arial"/>
          </w:rPr>
          <w:t>informed consent</w:t>
        </w:r>
      </w:hyperlink>
      <w:r w:rsidR="00C72C73">
        <w:rPr>
          <w:rFonts w:ascii="Arial" w:hAnsi="Arial" w:cs="Arial"/>
        </w:rPr>
        <w:t xml:space="preserve"> document. </w:t>
      </w:r>
      <w:r w:rsidR="00A279E1">
        <w:rPr>
          <w:rFonts w:ascii="Arial" w:hAnsi="Arial" w:cs="Arial"/>
        </w:rPr>
        <w:t xml:space="preserve">The interpretative guidance directs surveyors to cite this under resident’s rights </w:t>
      </w:r>
      <w:r w:rsidR="00BA3C7D">
        <w:rPr>
          <w:rFonts w:ascii="Arial" w:hAnsi="Arial" w:cs="Arial"/>
        </w:rPr>
        <w:t xml:space="preserve">although the language is included in the interpretive guidance. </w:t>
      </w:r>
      <w:r w:rsidR="00941676">
        <w:rPr>
          <w:rFonts w:ascii="Arial" w:hAnsi="Arial" w:cs="Arial"/>
        </w:rPr>
        <w:t xml:space="preserve">Minimum requirements for informed decision making </w:t>
      </w:r>
      <w:r w:rsidR="00BB3CCE">
        <w:rPr>
          <w:rFonts w:ascii="Arial" w:hAnsi="Arial" w:cs="Arial"/>
        </w:rPr>
        <w:t xml:space="preserve">must include: </w:t>
      </w:r>
    </w:p>
    <w:p w14:paraId="1E2A2E59" w14:textId="19EEDEBE" w:rsidR="00BB3CCE" w:rsidRDefault="00D94823" w:rsidP="00BB3CCE">
      <w:pPr>
        <w:pStyle w:val="ListParagraph"/>
        <w:numPr>
          <w:ilvl w:val="0"/>
          <w:numId w:val="3"/>
        </w:numPr>
        <w:rPr>
          <w:rFonts w:ascii="Arial" w:hAnsi="Arial" w:cs="Arial"/>
        </w:rPr>
      </w:pPr>
      <w:r>
        <w:rPr>
          <w:rFonts w:ascii="Arial" w:hAnsi="Arial" w:cs="Arial"/>
        </w:rPr>
        <w:t>Benefits of the medication</w:t>
      </w:r>
    </w:p>
    <w:p w14:paraId="11BE6A9B" w14:textId="71EBBDFD" w:rsidR="00B342B7" w:rsidRDefault="00B342B7" w:rsidP="00BB3CCE">
      <w:pPr>
        <w:pStyle w:val="ListParagraph"/>
        <w:numPr>
          <w:ilvl w:val="0"/>
          <w:numId w:val="3"/>
        </w:numPr>
        <w:rPr>
          <w:rFonts w:ascii="Arial" w:hAnsi="Arial" w:cs="Arial"/>
        </w:rPr>
      </w:pPr>
      <w:r>
        <w:rPr>
          <w:rFonts w:ascii="Arial" w:hAnsi="Arial" w:cs="Arial"/>
        </w:rPr>
        <w:t>Risks to the resident when using the medication</w:t>
      </w:r>
    </w:p>
    <w:p w14:paraId="095A2364" w14:textId="3279681F" w:rsidR="00B342B7" w:rsidRDefault="00B342B7" w:rsidP="00BB3CCE">
      <w:pPr>
        <w:pStyle w:val="ListParagraph"/>
        <w:numPr>
          <w:ilvl w:val="0"/>
          <w:numId w:val="3"/>
        </w:numPr>
        <w:rPr>
          <w:rFonts w:ascii="Arial" w:hAnsi="Arial" w:cs="Arial"/>
        </w:rPr>
      </w:pPr>
      <w:r>
        <w:rPr>
          <w:rFonts w:ascii="Arial" w:hAnsi="Arial" w:cs="Arial"/>
        </w:rPr>
        <w:t>Alternative treatment options available</w:t>
      </w:r>
    </w:p>
    <w:p w14:paraId="64F5FB64" w14:textId="44D36690" w:rsidR="00B342B7" w:rsidRDefault="004B345B" w:rsidP="00BB3CCE">
      <w:pPr>
        <w:pStyle w:val="ListParagraph"/>
        <w:numPr>
          <w:ilvl w:val="0"/>
          <w:numId w:val="3"/>
        </w:numPr>
        <w:rPr>
          <w:rFonts w:ascii="Arial" w:hAnsi="Arial" w:cs="Arial"/>
        </w:rPr>
      </w:pPr>
      <w:r>
        <w:rPr>
          <w:rFonts w:ascii="Arial" w:hAnsi="Arial" w:cs="Arial"/>
        </w:rPr>
        <w:t>Black box warnings as applicable for antipsychotic medications</w:t>
      </w:r>
    </w:p>
    <w:p w14:paraId="2758C6DA" w14:textId="4DC0179F" w:rsidR="00AE7A52" w:rsidRPr="001726E1" w:rsidRDefault="001726E1" w:rsidP="00AE7A52">
      <w:pPr>
        <w:rPr>
          <w:rFonts w:ascii="Arial" w:hAnsi="Arial" w:cs="Arial"/>
          <w:b/>
          <w:bCs/>
          <w:u w:val="single"/>
        </w:rPr>
      </w:pPr>
      <w:r w:rsidRPr="001726E1">
        <w:rPr>
          <w:b/>
          <w:bCs/>
          <w:noProof/>
          <w:u w:val="single"/>
        </w:rPr>
        <mc:AlternateContent>
          <mc:Choice Requires="wps">
            <w:drawing>
              <wp:anchor distT="0" distB="0" distL="114300" distR="114300" simplePos="0" relativeHeight="251660291" behindDoc="0" locked="0" layoutInCell="1" allowOverlap="1" wp14:anchorId="4B38EED4" wp14:editId="41E6BE5A">
                <wp:simplePos x="0" y="0"/>
                <wp:positionH relativeFrom="column">
                  <wp:posOffset>-260350</wp:posOffset>
                </wp:positionH>
                <wp:positionV relativeFrom="paragraph">
                  <wp:posOffset>310515</wp:posOffset>
                </wp:positionV>
                <wp:extent cx="171450" cy="152400"/>
                <wp:effectExtent l="0" t="0" r="19050" b="19050"/>
                <wp:wrapNone/>
                <wp:docPr id="263485245"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FE2F6" id="Rectangle 2" o:spid="_x0000_s1026" style="position:absolute;margin-left:-20.5pt;margin-top:24.45pt;width:13.5pt;height:12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" filled="f" strokecolor="#030e13 [484]" strokeweight="1pt"/>
            </w:pict>
          </mc:Fallback>
        </mc:AlternateContent>
      </w:r>
      <w:r w:rsidR="00AE7A52" w:rsidRPr="001726E1">
        <w:rPr>
          <w:rFonts w:ascii="Arial" w:hAnsi="Arial" w:cs="Arial"/>
          <w:b/>
          <w:bCs/>
          <w:u w:val="single"/>
        </w:rPr>
        <w:t>Professional Standards and the Medical Director</w:t>
      </w:r>
    </w:p>
    <w:p w14:paraId="3093B0FF" w14:textId="1A6004A8" w:rsidR="00AE7A52" w:rsidRDefault="003901EF" w:rsidP="00AE7A52">
      <w:pPr>
        <w:rPr>
          <w:rFonts w:ascii="Arial" w:hAnsi="Arial" w:cs="Arial"/>
        </w:rPr>
      </w:pPr>
      <w:r>
        <w:rPr>
          <w:b/>
          <w:bCs/>
          <w:noProof/>
          <w:u w:val="single"/>
        </w:rPr>
        <mc:AlternateContent>
          <mc:Choice Requires="wps">
            <w:drawing>
              <wp:anchor distT="0" distB="0" distL="114300" distR="114300" simplePos="0" relativeHeight="251662339" behindDoc="0" locked="0" layoutInCell="1" allowOverlap="1" wp14:anchorId="66F53A87" wp14:editId="48B60BF1">
                <wp:simplePos x="0" y="0"/>
                <wp:positionH relativeFrom="column">
                  <wp:posOffset>-273050</wp:posOffset>
                </wp:positionH>
                <wp:positionV relativeFrom="paragraph">
                  <wp:posOffset>494665</wp:posOffset>
                </wp:positionV>
                <wp:extent cx="171450" cy="152400"/>
                <wp:effectExtent l="0" t="0" r="19050" b="19050"/>
                <wp:wrapNone/>
                <wp:docPr id="116160684"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840AF" id="Rectangle 2" o:spid="_x0000_s1026" style="position:absolute;margin-left:-21.5pt;margin-top:38.95pt;width:13.5pt;height:12pt;z-index:2516623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" filled="f" strokecolor="#030e13 [484]" strokeweight="1pt"/>
            </w:pict>
          </mc:Fallback>
        </mc:AlternateContent>
      </w:r>
      <w:r w:rsidR="00A51570">
        <w:rPr>
          <w:rFonts w:ascii="Arial" w:hAnsi="Arial" w:cs="Arial"/>
        </w:rPr>
        <w:t xml:space="preserve">F658 – Revise policy and procedures to </w:t>
      </w:r>
      <w:hyperlink r:id="rId14" w:history="1">
        <w:r w:rsidR="00A51570" w:rsidRPr="006A687A">
          <w:rPr>
            <w:rStyle w:val="Hyperlink"/>
            <w:rFonts w:ascii="Arial" w:hAnsi="Arial" w:cs="Arial"/>
          </w:rPr>
          <w:t>incorporate appropriate supporting documentation for resident’s diagnoses</w:t>
        </w:r>
      </w:hyperlink>
      <w:r w:rsidR="00A51570">
        <w:rPr>
          <w:rFonts w:ascii="Arial" w:hAnsi="Arial" w:cs="Arial"/>
        </w:rPr>
        <w:t xml:space="preserve">. </w:t>
      </w:r>
    </w:p>
    <w:p w14:paraId="35B9F306" w14:textId="74D4A0E2" w:rsidR="001726E1" w:rsidRDefault="001726E1" w:rsidP="00AE7A52">
      <w:pPr>
        <w:rPr>
          <w:rFonts w:ascii="Arial" w:hAnsi="Arial" w:cs="Arial"/>
        </w:rPr>
      </w:pPr>
      <w:r>
        <w:rPr>
          <w:rFonts w:ascii="Arial" w:hAnsi="Arial" w:cs="Arial"/>
        </w:rPr>
        <w:t xml:space="preserve">F841 – Update Medical Director’s job description. </w:t>
      </w:r>
    </w:p>
    <w:p w14:paraId="094799C2" w14:textId="77777777" w:rsidR="00545E4A" w:rsidRDefault="00545E4A" w:rsidP="00AE7A52">
      <w:pPr>
        <w:rPr>
          <w:rFonts w:ascii="Arial" w:hAnsi="Arial" w:cs="Arial"/>
          <w:b/>
          <w:bCs/>
          <w:u w:val="single"/>
        </w:rPr>
      </w:pPr>
    </w:p>
    <w:p w14:paraId="7AB0BE53" w14:textId="77777777" w:rsidR="00545E4A" w:rsidRDefault="00545E4A" w:rsidP="00AE7A52">
      <w:pPr>
        <w:rPr>
          <w:rFonts w:ascii="Arial" w:hAnsi="Arial" w:cs="Arial"/>
          <w:b/>
          <w:bCs/>
          <w:u w:val="single"/>
        </w:rPr>
      </w:pPr>
    </w:p>
    <w:p w14:paraId="561D556E" w14:textId="1AE267B1" w:rsidR="009468C8" w:rsidRPr="00104DE6" w:rsidRDefault="00104DE6" w:rsidP="00AE7A52">
      <w:pPr>
        <w:rPr>
          <w:rFonts w:ascii="Arial" w:hAnsi="Arial" w:cs="Arial"/>
          <w:b/>
          <w:bCs/>
          <w:u w:val="single"/>
        </w:rPr>
      </w:pPr>
      <w:r>
        <w:rPr>
          <w:b/>
          <w:bCs/>
          <w:noProof/>
          <w:u w:val="single"/>
        </w:rPr>
        <w:lastRenderedPageBreak/>
        <mc:AlternateContent>
          <mc:Choice Requires="wps">
            <w:drawing>
              <wp:anchor distT="0" distB="0" distL="114300" distR="114300" simplePos="0" relativeHeight="251664387" behindDoc="0" locked="0" layoutInCell="1" allowOverlap="1" wp14:anchorId="322D8DBD" wp14:editId="311A764A">
                <wp:simplePos x="0" y="0"/>
                <wp:positionH relativeFrom="column">
                  <wp:posOffset>-292100</wp:posOffset>
                </wp:positionH>
                <wp:positionV relativeFrom="paragraph">
                  <wp:posOffset>310515</wp:posOffset>
                </wp:positionV>
                <wp:extent cx="171450" cy="152400"/>
                <wp:effectExtent l="0" t="0" r="19050" b="19050"/>
                <wp:wrapNone/>
                <wp:docPr id="1226656181"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02B9E" id="Rectangle 2" o:spid="_x0000_s1026" style="position:absolute;margin-left:-23pt;margin-top:24.45pt;width:13.5pt;height:12pt;z-index:2516643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" filled="f" strokecolor="#030e13 [484]" strokeweight="1pt"/>
            </w:pict>
          </mc:Fallback>
        </mc:AlternateContent>
      </w:r>
      <w:r w:rsidR="009468C8" w:rsidRPr="00104DE6">
        <w:rPr>
          <w:rFonts w:ascii="Arial" w:hAnsi="Arial" w:cs="Arial"/>
          <w:b/>
          <w:bCs/>
          <w:u w:val="single"/>
        </w:rPr>
        <w:t>MDS</w:t>
      </w:r>
    </w:p>
    <w:p w14:paraId="152992E6" w14:textId="1A0A979F" w:rsidR="00084ADA" w:rsidRDefault="00104DE6" w:rsidP="00AE7A52">
      <w:pPr>
        <w:rPr>
          <w:rFonts w:ascii="Arial" w:hAnsi="Arial" w:cs="Arial"/>
        </w:rPr>
      </w:pPr>
      <w:r>
        <w:rPr>
          <w:b/>
          <w:bCs/>
          <w:noProof/>
          <w:u w:val="single"/>
        </w:rPr>
        <mc:AlternateContent>
          <mc:Choice Requires="wps">
            <w:drawing>
              <wp:anchor distT="0" distB="0" distL="114300" distR="114300" simplePos="0" relativeHeight="251666435" behindDoc="0" locked="0" layoutInCell="1" allowOverlap="1" wp14:anchorId="50960418" wp14:editId="35431760">
                <wp:simplePos x="0" y="0"/>
                <wp:positionH relativeFrom="column">
                  <wp:posOffset>-285750</wp:posOffset>
                </wp:positionH>
                <wp:positionV relativeFrom="paragraph">
                  <wp:posOffset>665480</wp:posOffset>
                </wp:positionV>
                <wp:extent cx="171450" cy="152400"/>
                <wp:effectExtent l="0" t="0" r="19050" b="19050"/>
                <wp:wrapNone/>
                <wp:docPr id="1996786998"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9106B" id="Rectangle 2" o:spid="_x0000_s1026" style="position:absolute;margin-left:-22.5pt;margin-top:52.4pt;width:13.5pt;height:12pt;z-index:2516664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" filled="f" strokecolor="#030e13 [484]" strokeweight="1pt"/>
            </w:pict>
          </mc:Fallback>
        </mc:AlternateContent>
      </w:r>
      <w:r w:rsidR="00084ADA">
        <w:rPr>
          <w:rFonts w:ascii="Arial" w:hAnsi="Arial" w:cs="Arial"/>
        </w:rPr>
        <w:t>Revise policies regarding significant change MDS’</w:t>
      </w:r>
      <w:r w:rsidR="00BE2EB2">
        <w:rPr>
          <w:rFonts w:ascii="Arial" w:hAnsi="Arial" w:cs="Arial"/>
        </w:rPr>
        <w:t xml:space="preserve">. The terminology in this section was updated to reflect the transition to Section GG from previous language that was used in older versions of the MDS. </w:t>
      </w:r>
    </w:p>
    <w:p w14:paraId="56ADB6B4" w14:textId="395F59F3" w:rsidR="00BE2EB2" w:rsidRDefault="00BE2EB2" w:rsidP="00AE7A52">
      <w:pPr>
        <w:rPr>
          <w:rFonts w:ascii="Arial" w:hAnsi="Arial" w:cs="Arial"/>
        </w:rPr>
      </w:pPr>
      <w:r>
        <w:rPr>
          <w:rFonts w:ascii="Arial" w:hAnsi="Arial" w:cs="Arial"/>
        </w:rPr>
        <w:t>Educate</w:t>
      </w:r>
      <w:r w:rsidR="00416C07">
        <w:rPr>
          <w:rFonts w:ascii="Arial" w:hAnsi="Arial" w:cs="Arial"/>
        </w:rPr>
        <w:t xml:space="preserve"> MDS coding staff on ensuring that supporting documentation is present to accurately code diagnoses, such as </w:t>
      </w:r>
      <w:r w:rsidR="00E26CC0">
        <w:rPr>
          <w:rFonts w:ascii="Arial" w:hAnsi="Arial" w:cs="Arial"/>
        </w:rPr>
        <w:t xml:space="preserve">Schizophrenia. The person must be aware that when they are inaccurately coding the MDS, they can be reported to the professional licensure board in each state as well as the Office of Inspector General </w:t>
      </w:r>
      <w:r w:rsidR="00104DE6">
        <w:rPr>
          <w:rFonts w:ascii="Arial" w:hAnsi="Arial" w:cs="Arial"/>
        </w:rPr>
        <w:t xml:space="preserve">(OIG) for potential fraud when there is a pattern of inaccurate coding. </w:t>
      </w:r>
    </w:p>
    <w:p w14:paraId="3DCDADD7" w14:textId="12FD21C8" w:rsidR="006F636B" w:rsidRPr="00BF31CB" w:rsidRDefault="00E862D5" w:rsidP="00AE7A52">
      <w:pPr>
        <w:rPr>
          <w:rFonts w:ascii="Arial" w:hAnsi="Arial" w:cs="Arial"/>
          <w:b/>
          <w:bCs/>
          <w:u w:val="single"/>
        </w:rPr>
      </w:pPr>
      <w:r w:rsidRPr="00BF31CB">
        <w:rPr>
          <w:b/>
          <w:bCs/>
          <w:noProof/>
          <w:u w:val="single"/>
        </w:rPr>
        <mc:AlternateContent>
          <mc:Choice Requires="wps">
            <w:drawing>
              <wp:anchor distT="0" distB="0" distL="114300" distR="114300" simplePos="0" relativeHeight="251668483" behindDoc="0" locked="0" layoutInCell="1" allowOverlap="1" wp14:anchorId="781F9893" wp14:editId="3EB05464">
                <wp:simplePos x="0" y="0"/>
                <wp:positionH relativeFrom="column">
                  <wp:posOffset>-254000</wp:posOffset>
                </wp:positionH>
                <wp:positionV relativeFrom="paragraph">
                  <wp:posOffset>297815</wp:posOffset>
                </wp:positionV>
                <wp:extent cx="171450" cy="152400"/>
                <wp:effectExtent l="0" t="0" r="19050" b="19050"/>
                <wp:wrapNone/>
                <wp:docPr id="539139070"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CDDAF" id="Rectangle 2" o:spid="_x0000_s1026" style="position:absolute;margin-left:-20pt;margin-top:23.45pt;width:13.5pt;height:12pt;z-index:2516684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" filled="f" strokecolor="#030e13 [484]" strokeweight="1pt"/>
            </w:pict>
          </mc:Fallback>
        </mc:AlternateContent>
      </w:r>
      <w:r w:rsidR="006F636B" w:rsidRPr="00BF31CB">
        <w:rPr>
          <w:rFonts w:ascii="Arial" w:hAnsi="Arial" w:cs="Arial"/>
          <w:b/>
          <w:bCs/>
          <w:u w:val="single"/>
        </w:rPr>
        <w:t>Pain Management</w:t>
      </w:r>
    </w:p>
    <w:p w14:paraId="44A9DA8F" w14:textId="5B642FD7" w:rsidR="006F636B" w:rsidRDefault="00AE1C2D" w:rsidP="00AE7A52">
      <w:pPr>
        <w:rPr>
          <w:rFonts w:ascii="Arial" w:hAnsi="Arial" w:cs="Arial"/>
        </w:rPr>
      </w:pPr>
      <w:r>
        <w:rPr>
          <w:b/>
          <w:bCs/>
          <w:noProof/>
          <w:u w:val="single"/>
        </w:rPr>
        <mc:AlternateContent>
          <mc:Choice Requires="wps">
            <w:drawing>
              <wp:anchor distT="0" distB="0" distL="114300" distR="114300" simplePos="0" relativeHeight="251670531" behindDoc="0" locked="0" layoutInCell="1" allowOverlap="1" wp14:anchorId="33BF7F93" wp14:editId="1A3BD6CE">
                <wp:simplePos x="0" y="0"/>
                <wp:positionH relativeFrom="column">
                  <wp:posOffset>-260350</wp:posOffset>
                </wp:positionH>
                <wp:positionV relativeFrom="paragraph">
                  <wp:posOffset>310515</wp:posOffset>
                </wp:positionV>
                <wp:extent cx="171450" cy="152400"/>
                <wp:effectExtent l="0" t="0" r="19050" b="19050"/>
                <wp:wrapNone/>
                <wp:docPr id="757615297"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3B2ED" id="Rectangle 2" o:spid="_x0000_s1026" style="position:absolute;margin-left:-20.5pt;margin-top:24.45pt;width:13.5pt;height:12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" filled="f" strokecolor="#030e13 [484]" strokeweight="1pt"/>
            </w:pict>
          </mc:Fallback>
        </mc:AlternateContent>
      </w:r>
      <w:r w:rsidR="00FF2D69">
        <w:rPr>
          <w:rFonts w:ascii="Arial" w:hAnsi="Arial" w:cs="Arial"/>
        </w:rPr>
        <w:t xml:space="preserve">Revise policy to include acute, subacute, and chronic pain definitions. </w:t>
      </w:r>
    </w:p>
    <w:p w14:paraId="58B4430B" w14:textId="2FFDC97B" w:rsidR="00DF4349" w:rsidRDefault="00CD053F" w:rsidP="00AE7A52">
      <w:pPr>
        <w:rPr>
          <w:rFonts w:ascii="Arial" w:hAnsi="Arial" w:cs="Arial"/>
        </w:rPr>
      </w:pPr>
      <w:r>
        <w:rPr>
          <w:rFonts w:ascii="Arial" w:hAnsi="Arial" w:cs="Arial"/>
        </w:rPr>
        <w:t>Educate staff on providing the resident or their representative of the risks of opioid use in treating pain</w:t>
      </w:r>
      <w:r w:rsidR="00AE1C2D">
        <w:rPr>
          <w:rFonts w:ascii="Arial" w:hAnsi="Arial" w:cs="Arial"/>
        </w:rPr>
        <w:t xml:space="preserve">. This could include an </w:t>
      </w:r>
      <w:hyperlink r:id="rId15" w:history="1">
        <w:r w:rsidR="00AE1C2D" w:rsidRPr="009D4545">
          <w:rPr>
            <w:rStyle w:val="Hyperlink"/>
            <w:rFonts w:ascii="Arial" w:hAnsi="Arial" w:cs="Arial"/>
          </w:rPr>
          <w:t>informed consent</w:t>
        </w:r>
      </w:hyperlink>
      <w:r w:rsidR="00AE1C2D">
        <w:rPr>
          <w:rFonts w:ascii="Arial" w:hAnsi="Arial" w:cs="Arial"/>
        </w:rPr>
        <w:t xml:space="preserve"> to meet compliance. </w:t>
      </w:r>
    </w:p>
    <w:p w14:paraId="6A2F882E" w14:textId="1E9820B2" w:rsidR="00285C87" w:rsidRPr="0002724B" w:rsidRDefault="0002724B" w:rsidP="00AE7A52">
      <w:pPr>
        <w:rPr>
          <w:rFonts w:ascii="Arial" w:hAnsi="Arial" w:cs="Arial"/>
          <w:b/>
          <w:bCs/>
          <w:u w:val="single"/>
        </w:rPr>
      </w:pPr>
      <w:r>
        <w:rPr>
          <w:b/>
          <w:bCs/>
          <w:noProof/>
          <w:u w:val="single"/>
        </w:rPr>
        <mc:AlternateContent>
          <mc:Choice Requires="wps">
            <w:drawing>
              <wp:anchor distT="0" distB="0" distL="114300" distR="114300" simplePos="0" relativeHeight="251672579" behindDoc="0" locked="0" layoutInCell="1" allowOverlap="1" wp14:anchorId="11709F63" wp14:editId="5665A703">
                <wp:simplePos x="0" y="0"/>
                <wp:positionH relativeFrom="column">
                  <wp:posOffset>-260350</wp:posOffset>
                </wp:positionH>
                <wp:positionV relativeFrom="paragraph">
                  <wp:posOffset>304165</wp:posOffset>
                </wp:positionV>
                <wp:extent cx="171450" cy="152400"/>
                <wp:effectExtent l="0" t="0" r="19050" b="19050"/>
                <wp:wrapNone/>
                <wp:docPr id="1148431121"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C591F" id="Rectangle 2" o:spid="_x0000_s1026" style="position:absolute;margin-left:-20.5pt;margin-top:23.95pt;width:13.5pt;height:12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" filled="f" strokecolor="#030e13 [484]" strokeweight="1pt"/>
            </w:pict>
          </mc:Fallback>
        </mc:AlternateContent>
      </w:r>
      <w:r w:rsidR="00285C87" w:rsidRPr="0002724B">
        <w:rPr>
          <w:rFonts w:ascii="Arial" w:hAnsi="Arial" w:cs="Arial"/>
          <w:b/>
          <w:bCs/>
          <w:u w:val="single"/>
        </w:rPr>
        <w:t>Quality Assurance/QAPI</w:t>
      </w:r>
    </w:p>
    <w:p w14:paraId="124170D1" w14:textId="1C3C8D5C" w:rsidR="00285C87" w:rsidRDefault="00285C87" w:rsidP="00AE7A52">
      <w:pPr>
        <w:rPr>
          <w:rFonts w:ascii="Arial" w:hAnsi="Arial" w:cs="Arial"/>
        </w:rPr>
      </w:pPr>
      <w:r>
        <w:rPr>
          <w:rFonts w:ascii="Arial" w:hAnsi="Arial" w:cs="Arial"/>
        </w:rPr>
        <w:t xml:space="preserve">Update the QAPI plan and/or </w:t>
      </w:r>
      <w:r w:rsidR="00432C3A">
        <w:rPr>
          <w:rFonts w:ascii="Arial" w:hAnsi="Arial" w:cs="Arial"/>
        </w:rPr>
        <w:t xml:space="preserve">policy to include </w:t>
      </w:r>
      <w:r w:rsidR="00F91FB4">
        <w:rPr>
          <w:rFonts w:ascii="Arial" w:hAnsi="Arial" w:cs="Arial"/>
        </w:rPr>
        <w:t xml:space="preserve">use of </w:t>
      </w:r>
      <w:r w:rsidR="00432C3A">
        <w:rPr>
          <w:rFonts w:ascii="Arial" w:hAnsi="Arial" w:cs="Arial"/>
        </w:rPr>
        <w:t xml:space="preserve">health equity metrics </w:t>
      </w:r>
      <w:r w:rsidR="00F91FB4">
        <w:rPr>
          <w:rFonts w:ascii="Arial" w:hAnsi="Arial" w:cs="Arial"/>
        </w:rPr>
        <w:t xml:space="preserve">in the nursing home QAPI processes. </w:t>
      </w:r>
    </w:p>
    <w:p w14:paraId="55E01517" w14:textId="44C13B3D" w:rsidR="00F91FB4" w:rsidRDefault="0002724B" w:rsidP="00AE7A52">
      <w:pPr>
        <w:rPr>
          <w:rFonts w:ascii="Arial" w:hAnsi="Arial" w:cs="Arial"/>
        </w:rPr>
      </w:pPr>
      <w:r>
        <w:rPr>
          <w:b/>
          <w:bCs/>
          <w:noProof/>
          <w:u w:val="single"/>
        </w:rPr>
        <mc:AlternateContent>
          <mc:Choice Requires="wps">
            <w:drawing>
              <wp:anchor distT="0" distB="0" distL="114300" distR="114300" simplePos="0" relativeHeight="251674627" behindDoc="0" locked="0" layoutInCell="1" allowOverlap="1" wp14:anchorId="09FE2539" wp14:editId="5D0A816F">
                <wp:simplePos x="0" y="0"/>
                <wp:positionH relativeFrom="column">
                  <wp:posOffset>-260350</wp:posOffset>
                </wp:positionH>
                <wp:positionV relativeFrom="paragraph">
                  <wp:posOffset>5715</wp:posOffset>
                </wp:positionV>
                <wp:extent cx="171450" cy="152400"/>
                <wp:effectExtent l="0" t="0" r="19050" b="19050"/>
                <wp:wrapNone/>
                <wp:docPr id="771788183"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45DD0" id="Rectangle 2" o:spid="_x0000_s1026" style="position:absolute;margin-left:-20.5pt;margin-top:.45pt;width:13.5pt;height:12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" filled="f" strokecolor="#030e13 [484]" strokeweight="1pt"/>
            </w:pict>
          </mc:Fallback>
        </mc:AlternateContent>
      </w:r>
      <w:r w:rsidR="00F91FB4">
        <w:rPr>
          <w:rFonts w:ascii="Arial" w:hAnsi="Arial" w:cs="Arial"/>
        </w:rPr>
        <w:t>Identify how the nursing home</w:t>
      </w:r>
      <w:r w:rsidR="00D35E4C">
        <w:rPr>
          <w:rFonts w:ascii="Arial" w:hAnsi="Arial" w:cs="Arial"/>
        </w:rPr>
        <w:t xml:space="preserve"> will implement health equity metrics into QAPI processes and who will be responsible for monitoring</w:t>
      </w:r>
      <w:r>
        <w:rPr>
          <w:rFonts w:ascii="Arial" w:hAnsi="Arial" w:cs="Arial"/>
        </w:rPr>
        <w:t xml:space="preserve">. </w:t>
      </w:r>
      <w:r w:rsidR="003E6D0A">
        <w:rPr>
          <w:rFonts w:ascii="Arial" w:hAnsi="Arial" w:cs="Arial"/>
        </w:rPr>
        <w:t>Examples can include</w:t>
      </w:r>
      <w:r>
        <w:rPr>
          <w:rFonts w:ascii="Arial" w:hAnsi="Arial" w:cs="Arial"/>
        </w:rPr>
        <w:t xml:space="preserve"> incorporating </w:t>
      </w:r>
      <w:r w:rsidR="00FF2354">
        <w:rPr>
          <w:rFonts w:ascii="Arial" w:hAnsi="Arial" w:cs="Arial"/>
        </w:rPr>
        <w:t>the confidential health-equity feedback reports</w:t>
      </w:r>
      <w:r w:rsidR="003E6D0A">
        <w:rPr>
          <w:rFonts w:ascii="Arial" w:hAnsi="Arial" w:cs="Arial"/>
        </w:rPr>
        <w:t xml:space="preserve"> or health equity indicators into adverse event monitoring/investigation. </w:t>
      </w:r>
    </w:p>
    <w:p w14:paraId="6496B080" w14:textId="440A5FD0" w:rsidR="007E4AEC" w:rsidRPr="00226AC7" w:rsidRDefault="00226AC7" w:rsidP="00AE7A52">
      <w:pPr>
        <w:rPr>
          <w:rFonts w:ascii="Arial" w:hAnsi="Arial" w:cs="Arial"/>
          <w:b/>
          <w:bCs/>
          <w:u w:val="single"/>
        </w:rPr>
      </w:pPr>
      <w:r>
        <w:rPr>
          <w:b/>
          <w:bCs/>
          <w:noProof/>
          <w:u w:val="single"/>
        </w:rPr>
        <mc:AlternateContent>
          <mc:Choice Requires="wps">
            <w:drawing>
              <wp:anchor distT="0" distB="0" distL="114300" distR="114300" simplePos="0" relativeHeight="251676675" behindDoc="0" locked="0" layoutInCell="1" allowOverlap="1" wp14:anchorId="770BCB73" wp14:editId="7294C857">
                <wp:simplePos x="0" y="0"/>
                <wp:positionH relativeFrom="column">
                  <wp:posOffset>-273050</wp:posOffset>
                </wp:positionH>
                <wp:positionV relativeFrom="paragraph">
                  <wp:posOffset>311150</wp:posOffset>
                </wp:positionV>
                <wp:extent cx="171450" cy="152400"/>
                <wp:effectExtent l="0" t="0" r="19050" b="19050"/>
                <wp:wrapNone/>
                <wp:docPr id="1958703650"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4B93F" id="Rectangle 2" o:spid="_x0000_s1026" style="position:absolute;margin-left:-21.5pt;margin-top:24.5pt;width:13.5pt;height:12pt;z-index:2516766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" filled="f" strokecolor="#030e13 [484]" strokeweight="1pt"/>
            </w:pict>
          </mc:Fallback>
        </mc:AlternateContent>
      </w:r>
      <w:r w:rsidR="009E5645" w:rsidRPr="00226AC7">
        <w:rPr>
          <w:rFonts w:ascii="Arial" w:hAnsi="Arial" w:cs="Arial"/>
          <w:b/>
          <w:bCs/>
          <w:u w:val="single"/>
        </w:rPr>
        <w:t>CPR</w:t>
      </w:r>
    </w:p>
    <w:p w14:paraId="5CF8DD91" w14:textId="12988ECA" w:rsidR="009E5645" w:rsidRDefault="009E5645" w:rsidP="00AE7A52">
      <w:pPr>
        <w:rPr>
          <w:rFonts w:ascii="Arial" w:hAnsi="Arial" w:cs="Arial"/>
        </w:rPr>
      </w:pPr>
      <w:r>
        <w:rPr>
          <w:rFonts w:ascii="Arial" w:hAnsi="Arial" w:cs="Arial"/>
        </w:rPr>
        <w:t xml:space="preserve">Review policy to determine if information is included on CPR Certification training. If so, revisions may be necessary to allow for </w:t>
      </w:r>
      <w:r w:rsidR="00BB35B0">
        <w:rPr>
          <w:rFonts w:ascii="Arial" w:hAnsi="Arial" w:cs="Arial"/>
        </w:rPr>
        <w:t xml:space="preserve">in-person or virtual instruction as long as the training has a hands-on format. </w:t>
      </w:r>
    </w:p>
    <w:p w14:paraId="3D966189" w14:textId="0675D8E1" w:rsidR="00812053" w:rsidRPr="00226AC7" w:rsidRDefault="00226AC7" w:rsidP="00AE7A52">
      <w:pPr>
        <w:rPr>
          <w:rFonts w:ascii="Arial" w:hAnsi="Arial" w:cs="Arial"/>
          <w:b/>
          <w:bCs/>
          <w:u w:val="single"/>
        </w:rPr>
      </w:pPr>
      <w:r>
        <w:rPr>
          <w:b/>
          <w:bCs/>
          <w:noProof/>
          <w:u w:val="single"/>
        </w:rPr>
        <mc:AlternateContent>
          <mc:Choice Requires="wps">
            <w:drawing>
              <wp:anchor distT="0" distB="0" distL="114300" distR="114300" simplePos="0" relativeHeight="251678723" behindDoc="0" locked="0" layoutInCell="1" allowOverlap="1" wp14:anchorId="56B54C6D" wp14:editId="6B0E3D55">
                <wp:simplePos x="0" y="0"/>
                <wp:positionH relativeFrom="column">
                  <wp:posOffset>-279400</wp:posOffset>
                </wp:positionH>
                <wp:positionV relativeFrom="paragraph">
                  <wp:posOffset>272415</wp:posOffset>
                </wp:positionV>
                <wp:extent cx="171450" cy="152400"/>
                <wp:effectExtent l="0" t="0" r="19050" b="19050"/>
                <wp:wrapNone/>
                <wp:docPr id="639082999"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66EE7" id="Rectangle 2" o:spid="_x0000_s1026" style="position:absolute;margin-left:-22pt;margin-top:21.45pt;width:13.5pt;height:12pt;z-index:2516787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DsYA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" filled="f" strokecolor="#030e13 [484]" strokeweight="1pt"/>
            </w:pict>
          </mc:Fallback>
        </mc:AlternateContent>
      </w:r>
      <w:r w:rsidR="00812053" w:rsidRPr="00226AC7">
        <w:rPr>
          <w:rFonts w:ascii="Arial" w:hAnsi="Arial" w:cs="Arial"/>
          <w:b/>
          <w:bCs/>
          <w:u w:val="single"/>
        </w:rPr>
        <w:t>Physical Environment</w:t>
      </w:r>
    </w:p>
    <w:p w14:paraId="6D4B69F2" w14:textId="25CEB802" w:rsidR="00812053" w:rsidRDefault="00812053" w:rsidP="00AE7A52">
      <w:pPr>
        <w:rPr>
          <w:rFonts w:ascii="Arial" w:hAnsi="Arial" w:cs="Arial"/>
        </w:rPr>
      </w:pPr>
      <w:r>
        <w:rPr>
          <w:rFonts w:ascii="Arial" w:hAnsi="Arial" w:cs="Arial"/>
        </w:rPr>
        <w:t>If you were initially certified, remodeled, or had a change of ownership (CHOW) after November 28, 2016</w:t>
      </w:r>
      <w:r w:rsidR="00D833F4">
        <w:rPr>
          <w:rFonts w:ascii="Arial" w:hAnsi="Arial" w:cs="Arial"/>
        </w:rPr>
        <w:t xml:space="preserve">, review your policy on resident bathrooms to ensure that there are no </w:t>
      </w:r>
      <w:r w:rsidR="00226AC7">
        <w:rPr>
          <w:rFonts w:ascii="Arial" w:hAnsi="Arial" w:cs="Arial"/>
        </w:rPr>
        <w:t xml:space="preserve">less than one bathroom for every two residents. </w:t>
      </w:r>
    </w:p>
    <w:p w14:paraId="762A1DF9" w14:textId="77777777" w:rsidR="00226AC7" w:rsidRDefault="00226AC7" w:rsidP="00AE7A52">
      <w:pPr>
        <w:rPr>
          <w:rFonts w:ascii="Arial" w:hAnsi="Arial" w:cs="Arial"/>
        </w:rPr>
      </w:pPr>
    </w:p>
    <w:p w14:paraId="72CF3E83" w14:textId="78A9DC8E" w:rsidR="00104DE6" w:rsidRPr="0016096A" w:rsidRDefault="000E7E07" w:rsidP="00AE7A52">
      <w:pPr>
        <w:rPr>
          <w:rFonts w:ascii="Arial" w:hAnsi="Arial" w:cs="Arial"/>
          <w:b/>
          <w:bCs/>
          <w:u w:val="single"/>
        </w:rPr>
      </w:pPr>
      <w:r w:rsidRPr="0016096A">
        <w:rPr>
          <w:rFonts w:ascii="Arial" w:hAnsi="Arial" w:cs="Arial"/>
          <w:b/>
          <w:bCs/>
          <w:u w:val="single"/>
        </w:rPr>
        <w:t xml:space="preserve">Resources: </w:t>
      </w:r>
    </w:p>
    <w:p w14:paraId="5482AEAF" w14:textId="7A210B75" w:rsidR="000E7E07" w:rsidRPr="00AE7A52" w:rsidRDefault="000E7E07" w:rsidP="00AE7A52">
      <w:pPr>
        <w:rPr>
          <w:rFonts w:ascii="Arial" w:hAnsi="Arial" w:cs="Arial"/>
        </w:rPr>
      </w:pPr>
      <w:r>
        <w:rPr>
          <w:rFonts w:ascii="Arial" w:hAnsi="Arial" w:cs="Arial"/>
        </w:rPr>
        <w:t xml:space="preserve">QSO-25-07-NH (CMS) </w:t>
      </w:r>
      <w:hyperlink r:id="rId16" w:history="1">
        <w:r w:rsidR="0016096A" w:rsidRPr="00493D8C">
          <w:rPr>
            <w:rStyle w:val="Hyperlink"/>
            <w:rFonts w:ascii="Arial" w:hAnsi="Arial" w:cs="Arial"/>
          </w:rPr>
          <w:t>https://www.cms.gov/files/document/revised-long-term-care-ltc-surveyor-guidance-significant-revisions-enhance-quality-and-oversight-ltc.pdf</w:t>
        </w:r>
      </w:hyperlink>
      <w:r w:rsidR="0016096A">
        <w:rPr>
          <w:rFonts w:ascii="Arial" w:hAnsi="Arial" w:cs="Arial"/>
        </w:rPr>
        <w:t xml:space="preserve"> </w:t>
      </w:r>
    </w:p>
    <w:sectPr w:rsidR="000E7E07" w:rsidRPr="00AE7A52" w:rsidSect="00C22564">
      <w:headerReference w:type="default" r:id="rId17"/>
      <w:footerReference w:type="default" r:id="rId18"/>
      <w:headerReference w:type="first" r:id="rId19"/>
      <w:pgSz w:w="12240" w:h="15840"/>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13FF" w14:textId="77777777" w:rsidR="008240CC" w:rsidRDefault="008240CC" w:rsidP="0074747A">
      <w:pPr>
        <w:spacing w:after="0" w:line="240" w:lineRule="auto"/>
      </w:pPr>
      <w:r>
        <w:separator/>
      </w:r>
    </w:p>
  </w:endnote>
  <w:endnote w:type="continuationSeparator" w:id="0">
    <w:p w14:paraId="3CC59098" w14:textId="77777777" w:rsidR="008240CC" w:rsidRDefault="008240CC" w:rsidP="0074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896242"/>
      <w:docPartObj>
        <w:docPartGallery w:val="Page Numbers (Bottom of Page)"/>
        <w:docPartUnique/>
      </w:docPartObj>
    </w:sdtPr>
    <w:sdtEndPr>
      <w:rPr>
        <w:noProof/>
      </w:rPr>
    </w:sdtEndPr>
    <w:sdtContent>
      <w:p w14:paraId="3A11D429" w14:textId="20CABA37" w:rsidR="00D647C6" w:rsidRDefault="00D647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63BAEA" w14:textId="77777777" w:rsidR="0074747A" w:rsidRDefault="00747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73D98" w14:textId="77777777" w:rsidR="008240CC" w:rsidRDefault="008240CC" w:rsidP="0074747A">
      <w:pPr>
        <w:spacing w:after="0" w:line="240" w:lineRule="auto"/>
      </w:pPr>
      <w:r>
        <w:separator/>
      </w:r>
    </w:p>
  </w:footnote>
  <w:footnote w:type="continuationSeparator" w:id="0">
    <w:p w14:paraId="02083D28" w14:textId="77777777" w:rsidR="008240CC" w:rsidRDefault="008240CC" w:rsidP="00747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7E6F" w14:textId="3F9007B8" w:rsidR="00D647C6" w:rsidRDefault="00D647C6" w:rsidP="00D647C6">
    <w:pPr>
      <w:pStyle w:val="Header"/>
      <w:ind w:left="-1260"/>
    </w:pPr>
  </w:p>
  <w:p w14:paraId="403D71A9" w14:textId="77777777" w:rsidR="00D647C6" w:rsidRDefault="00D6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7947" w14:textId="2BAA8AE7" w:rsidR="006411B1" w:rsidRDefault="00C22564" w:rsidP="00C22564">
    <w:pPr>
      <w:pStyle w:val="Header"/>
      <w:ind w:left="-1260"/>
    </w:pPr>
    <w:r>
      <w:rPr>
        <w:noProof/>
      </w:rPr>
      <w:drawing>
        <wp:inline distT="0" distB="0" distL="0" distR="0" wp14:anchorId="489F82C1" wp14:editId="3E84A6AA">
          <wp:extent cx="1825752" cy="749808"/>
          <wp:effectExtent l="0" t="0" r="3175" b="0"/>
          <wp:docPr id="1905770468" name="Picture 5" descr="A logo with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3379" name="Picture 5" descr="A logo with gree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752" cy="749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B2871"/>
    <w:multiLevelType w:val="hybridMultilevel"/>
    <w:tmpl w:val="8678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6D34"/>
    <w:multiLevelType w:val="hybridMultilevel"/>
    <w:tmpl w:val="719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840D7"/>
    <w:multiLevelType w:val="hybridMultilevel"/>
    <w:tmpl w:val="56B4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042200">
    <w:abstractNumId w:val="1"/>
  </w:num>
  <w:num w:numId="2" w16cid:durableId="1078137990">
    <w:abstractNumId w:val="2"/>
  </w:num>
  <w:num w:numId="3" w16cid:durableId="163560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61"/>
    <w:rsid w:val="00013203"/>
    <w:rsid w:val="0002724B"/>
    <w:rsid w:val="000761FD"/>
    <w:rsid w:val="00084ADA"/>
    <w:rsid w:val="000B61AF"/>
    <w:rsid w:val="000E7E07"/>
    <w:rsid w:val="00104DE6"/>
    <w:rsid w:val="001212D1"/>
    <w:rsid w:val="0016096A"/>
    <w:rsid w:val="001726E1"/>
    <w:rsid w:val="001856D3"/>
    <w:rsid w:val="001915A3"/>
    <w:rsid w:val="001968AC"/>
    <w:rsid w:val="001B0981"/>
    <w:rsid w:val="001C1AD4"/>
    <w:rsid w:val="002106C0"/>
    <w:rsid w:val="00226AC7"/>
    <w:rsid w:val="00285C87"/>
    <w:rsid w:val="002B0909"/>
    <w:rsid w:val="002B2604"/>
    <w:rsid w:val="002B32EC"/>
    <w:rsid w:val="0030374C"/>
    <w:rsid w:val="003901EF"/>
    <w:rsid w:val="003A170D"/>
    <w:rsid w:val="003E6D0A"/>
    <w:rsid w:val="00414448"/>
    <w:rsid w:val="00416C07"/>
    <w:rsid w:val="00432C3A"/>
    <w:rsid w:val="004A6394"/>
    <w:rsid w:val="004B345B"/>
    <w:rsid w:val="00516D7B"/>
    <w:rsid w:val="00545E4A"/>
    <w:rsid w:val="00550F10"/>
    <w:rsid w:val="00563B18"/>
    <w:rsid w:val="005B3637"/>
    <w:rsid w:val="005C65EB"/>
    <w:rsid w:val="005F3146"/>
    <w:rsid w:val="005F5DE7"/>
    <w:rsid w:val="00602454"/>
    <w:rsid w:val="00607E65"/>
    <w:rsid w:val="006237D7"/>
    <w:rsid w:val="006411B1"/>
    <w:rsid w:val="006A687A"/>
    <w:rsid w:val="006E2DEC"/>
    <w:rsid w:val="006F5BF4"/>
    <w:rsid w:val="006F636B"/>
    <w:rsid w:val="0074747A"/>
    <w:rsid w:val="00752161"/>
    <w:rsid w:val="007901E9"/>
    <w:rsid w:val="007C1035"/>
    <w:rsid w:val="007E176C"/>
    <w:rsid w:val="007E4AEC"/>
    <w:rsid w:val="00812053"/>
    <w:rsid w:val="008240CC"/>
    <w:rsid w:val="00871900"/>
    <w:rsid w:val="008F6AA8"/>
    <w:rsid w:val="00941676"/>
    <w:rsid w:val="009468C8"/>
    <w:rsid w:val="0095239C"/>
    <w:rsid w:val="009D4545"/>
    <w:rsid w:val="009E5645"/>
    <w:rsid w:val="00A279E1"/>
    <w:rsid w:val="00A51570"/>
    <w:rsid w:val="00AA46E4"/>
    <w:rsid w:val="00AC23EC"/>
    <w:rsid w:val="00AE1C2D"/>
    <w:rsid w:val="00AE7A52"/>
    <w:rsid w:val="00B256C9"/>
    <w:rsid w:val="00B342B7"/>
    <w:rsid w:val="00B556C3"/>
    <w:rsid w:val="00B66B4B"/>
    <w:rsid w:val="00B90D85"/>
    <w:rsid w:val="00BA3C7D"/>
    <w:rsid w:val="00BB35B0"/>
    <w:rsid w:val="00BB3CCE"/>
    <w:rsid w:val="00BE2EB2"/>
    <w:rsid w:val="00BF31CB"/>
    <w:rsid w:val="00C22564"/>
    <w:rsid w:val="00C72C73"/>
    <w:rsid w:val="00CD053F"/>
    <w:rsid w:val="00D103E7"/>
    <w:rsid w:val="00D20180"/>
    <w:rsid w:val="00D35E4C"/>
    <w:rsid w:val="00D40514"/>
    <w:rsid w:val="00D647C6"/>
    <w:rsid w:val="00D833F4"/>
    <w:rsid w:val="00D9076B"/>
    <w:rsid w:val="00D94823"/>
    <w:rsid w:val="00DB4A14"/>
    <w:rsid w:val="00DD0B2C"/>
    <w:rsid w:val="00DF4349"/>
    <w:rsid w:val="00E16E1E"/>
    <w:rsid w:val="00E26CC0"/>
    <w:rsid w:val="00E527D8"/>
    <w:rsid w:val="00E71938"/>
    <w:rsid w:val="00E862D5"/>
    <w:rsid w:val="00E91FB7"/>
    <w:rsid w:val="00F00B9B"/>
    <w:rsid w:val="00F11F18"/>
    <w:rsid w:val="00F16608"/>
    <w:rsid w:val="00F30883"/>
    <w:rsid w:val="00F4510E"/>
    <w:rsid w:val="00F83116"/>
    <w:rsid w:val="00F91FB4"/>
    <w:rsid w:val="00FB18E3"/>
    <w:rsid w:val="00FC12CA"/>
    <w:rsid w:val="00FC7D1D"/>
    <w:rsid w:val="00FD7A77"/>
    <w:rsid w:val="00FF2354"/>
    <w:rsid w:val="00FF2D69"/>
    <w:rsid w:val="00FF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8B085"/>
  <w15:chartTrackingRefBased/>
  <w15:docId w15:val="{0C69C3FC-9763-4C3A-8855-019D4EB2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161"/>
    <w:rPr>
      <w:rFonts w:eastAsiaTheme="majorEastAsia" w:cstheme="majorBidi"/>
      <w:color w:val="272727" w:themeColor="text1" w:themeTint="D8"/>
    </w:rPr>
  </w:style>
  <w:style w:type="paragraph" w:styleId="Title">
    <w:name w:val="Title"/>
    <w:basedOn w:val="Normal"/>
    <w:next w:val="Normal"/>
    <w:link w:val="TitleChar"/>
    <w:uiPriority w:val="10"/>
    <w:qFormat/>
    <w:rsid w:val="00752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161"/>
    <w:pPr>
      <w:spacing w:before="160"/>
      <w:jc w:val="center"/>
    </w:pPr>
    <w:rPr>
      <w:i/>
      <w:iCs/>
      <w:color w:val="404040" w:themeColor="text1" w:themeTint="BF"/>
    </w:rPr>
  </w:style>
  <w:style w:type="character" w:customStyle="1" w:styleId="QuoteChar">
    <w:name w:val="Quote Char"/>
    <w:basedOn w:val="DefaultParagraphFont"/>
    <w:link w:val="Quote"/>
    <w:uiPriority w:val="29"/>
    <w:rsid w:val="00752161"/>
    <w:rPr>
      <w:i/>
      <w:iCs/>
      <w:color w:val="404040" w:themeColor="text1" w:themeTint="BF"/>
    </w:rPr>
  </w:style>
  <w:style w:type="paragraph" w:styleId="ListParagraph">
    <w:name w:val="List Paragraph"/>
    <w:basedOn w:val="Normal"/>
    <w:uiPriority w:val="34"/>
    <w:qFormat/>
    <w:rsid w:val="00752161"/>
    <w:pPr>
      <w:ind w:left="720"/>
      <w:contextualSpacing/>
    </w:pPr>
  </w:style>
  <w:style w:type="character" w:styleId="IntenseEmphasis">
    <w:name w:val="Intense Emphasis"/>
    <w:basedOn w:val="DefaultParagraphFont"/>
    <w:uiPriority w:val="21"/>
    <w:qFormat/>
    <w:rsid w:val="00752161"/>
    <w:rPr>
      <w:i/>
      <w:iCs/>
      <w:color w:val="0F4761" w:themeColor="accent1" w:themeShade="BF"/>
    </w:rPr>
  </w:style>
  <w:style w:type="paragraph" w:styleId="IntenseQuote">
    <w:name w:val="Intense Quote"/>
    <w:basedOn w:val="Normal"/>
    <w:next w:val="Normal"/>
    <w:link w:val="IntenseQuoteChar"/>
    <w:uiPriority w:val="30"/>
    <w:qFormat/>
    <w:rsid w:val="00752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161"/>
    <w:rPr>
      <w:i/>
      <w:iCs/>
      <w:color w:val="0F4761" w:themeColor="accent1" w:themeShade="BF"/>
    </w:rPr>
  </w:style>
  <w:style w:type="character" w:styleId="IntenseReference">
    <w:name w:val="Intense Reference"/>
    <w:basedOn w:val="DefaultParagraphFont"/>
    <w:uiPriority w:val="32"/>
    <w:qFormat/>
    <w:rsid w:val="00752161"/>
    <w:rPr>
      <w:b/>
      <w:bCs/>
      <w:smallCaps/>
      <w:color w:val="0F4761" w:themeColor="accent1" w:themeShade="BF"/>
      <w:spacing w:val="5"/>
    </w:rPr>
  </w:style>
  <w:style w:type="character" w:styleId="Hyperlink">
    <w:name w:val="Hyperlink"/>
    <w:basedOn w:val="DefaultParagraphFont"/>
    <w:uiPriority w:val="99"/>
    <w:unhideWhenUsed/>
    <w:rsid w:val="0016096A"/>
    <w:rPr>
      <w:color w:val="467886" w:themeColor="hyperlink"/>
      <w:u w:val="single"/>
    </w:rPr>
  </w:style>
  <w:style w:type="character" w:styleId="UnresolvedMention">
    <w:name w:val="Unresolved Mention"/>
    <w:basedOn w:val="DefaultParagraphFont"/>
    <w:uiPriority w:val="99"/>
    <w:semiHidden/>
    <w:unhideWhenUsed/>
    <w:rsid w:val="0016096A"/>
    <w:rPr>
      <w:color w:val="605E5C"/>
      <w:shd w:val="clear" w:color="auto" w:fill="E1DFDD"/>
    </w:rPr>
  </w:style>
  <w:style w:type="paragraph" w:styleId="Header">
    <w:name w:val="header"/>
    <w:basedOn w:val="Normal"/>
    <w:link w:val="HeaderChar"/>
    <w:uiPriority w:val="99"/>
    <w:unhideWhenUsed/>
    <w:rsid w:val="00747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47A"/>
  </w:style>
  <w:style w:type="paragraph" w:styleId="Footer">
    <w:name w:val="footer"/>
    <w:basedOn w:val="Normal"/>
    <w:link w:val="FooterChar"/>
    <w:uiPriority w:val="99"/>
    <w:unhideWhenUsed/>
    <w:rsid w:val="00747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dingageil.org/wp-content/uploads/2024/12/Psychotropic-Medication-Informed-Consent.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adingageil.org/wp-content/uploads/2024/12/Assessment-for-Inability-to-Meet-Resident-Needs-IL.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ms.gov/files/document/revised-long-term-care-ltc-surveyor-guidance-significant-revisions-enhance-quality-and-oversight-lt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dingageil.org/wp-content/uploads/2024/12/Appropriate-Diagnosis-Policy-Template-IL.docx" TargetMode="External"/><Relationship Id="rId5" Type="http://schemas.openxmlformats.org/officeDocument/2006/relationships/numbering" Target="numbering.xml"/><Relationship Id="rId15" Type="http://schemas.openxmlformats.org/officeDocument/2006/relationships/hyperlink" Target="https://leadingageil.org/wp-content/uploads/2024/12/Opioid-Medication-Informed-Consent.doc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dingageil.org/wp-content/uploads/2024/12/Appropriate-Diagnosis-Policy-Template-IL-1.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37C3C-D74A-459A-965D-4C61D1F4E8BB}">
  <ds:schemaRefs>
    <ds:schemaRef ds:uri="http://schemas.microsoft.com/sharepoint/v3/contenttype/forms"/>
  </ds:schemaRefs>
</ds:datastoreItem>
</file>

<file path=customXml/itemProps2.xml><?xml version="1.0" encoding="utf-8"?>
<ds:datastoreItem xmlns:ds="http://schemas.openxmlformats.org/officeDocument/2006/customXml" ds:itemID="{4F15C85D-0D61-4616-B0F4-5D912973CC2A}">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3.xml><?xml version="1.0" encoding="utf-8"?>
<ds:datastoreItem xmlns:ds="http://schemas.openxmlformats.org/officeDocument/2006/customXml" ds:itemID="{9637C4F8-1160-4C4F-921E-01204CA95D42}">
  <ds:schemaRefs>
    <ds:schemaRef ds:uri="http://schemas.openxmlformats.org/officeDocument/2006/bibliography"/>
  </ds:schemaRefs>
</ds:datastoreItem>
</file>

<file path=customXml/itemProps4.xml><?xml version="1.0" encoding="utf-8"?>
<ds:datastoreItem xmlns:ds="http://schemas.openxmlformats.org/officeDocument/2006/customXml" ds:itemID="{20D0FF5F-A50F-4954-BCA2-D35C55A04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3</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106</cp:revision>
  <dcterms:created xsi:type="dcterms:W3CDTF">2024-12-03T12:56:00Z</dcterms:created>
  <dcterms:modified xsi:type="dcterms:W3CDTF">2024-12-10T15:08:00Z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